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641DB">
      <w:pPr>
        <w:spacing w:line="620" w:lineRule="exact"/>
        <w:rPr>
          <w:rFonts w:hint="eastAsia" w:ascii="黑体" w:hAnsi="黑体" w:eastAsia="黑体" w:cs="黑体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Cs w:val="32"/>
        </w:rPr>
        <w:t>附件2</w:t>
      </w:r>
    </w:p>
    <w:p w14:paraId="3E294BD8">
      <w:pPr>
        <w:spacing w:line="620" w:lineRule="exact"/>
        <w:ind w:firstLine="3052" w:firstLineChars="700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客户自评报告</w:t>
      </w:r>
    </w:p>
    <w:p w14:paraId="514F7CC7">
      <w:pPr>
        <w:ind w:firstLine="420"/>
        <w:rPr>
          <w:rFonts w:hint="eastAsia" w:ascii="仿宋_GB2312" w:hAnsi="等线"/>
          <w:bCs/>
          <w:sz w:val="21"/>
          <w:szCs w:val="22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0"/>
      </w:tblGrid>
      <w:tr w14:paraId="5953B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020" w:type="dxa"/>
          </w:tcPr>
          <w:p w14:paraId="7172B9ED">
            <w:pPr>
              <w:jc w:val="center"/>
              <w:rPr>
                <w:rFonts w:hint="eastAsia" w:ascii="仿宋_GB2312" w:hAnsi="等线"/>
                <w:bCs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szCs w:val="32"/>
              </w:rPr>
              <w:t>公司经营现状</w:t>
            </w:r>
          </w:p>
        </w:tc>
      </w:tr>
      <w:tr w14:paraId="3D1A0A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8" w:hRule="atLeast"/>
        </w:trPr>
        <w:tc>
          <w:tcPr>
            <w:tcW w:w="9020" w:type="dxa"/>
          </w:tcPr>
          <w:p w14:paraId="7CD02717">
            <w:pPr>
              <w:rPr>
                <w:rFonts w:hint="eastAsia" w:ascii="仿宋_GB2312" w:hAnsi="宋体" w:cs="宋体"/>
                <w:color w:val="BEBEBE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BEBEBE"/>
                <w:kern w:val="0"/>
                <w:sz w:val="28"/>
                <w:szCs w:val="28"/>
              </w:rPr>
              <w:t>资金流、人员结构、市场覆盖率（团购不写）、客户资源、仓储面积、货物配送车、产品运营主渠道等现状</w:t>
            </w:r>
          </w:p>
          <w:p w14:paraId="5878A8DF">
            <w:pPr>
              <w:rPr>
                <w:rFonts w:hint="eastAsia" w:ascii="仿宋_GB2312" w:hAnsi="宋体" w:cs="宋体"/>
                <w:color w:val="BEBEBE"/>
                <w:kern w:val="0"/>
                <w:sz w:val="28"/>
                <w:szCs w:val="28"/>
              </w:rPr>
            </w:pPr>
          </w:p>
          <w:p w14:paraId="27F3553F">
            <w:pPr>
              <w:rPr>
                <w:rFonts w:hint="eastAsia" w:ascii="仿宋_GB2312" w:hAnsi="宋体" w:cs="宋体"/>
                <w:color w:val="BEBEBE"/>
                <w:kern w:val="0"/>
                <w:sz w:val="28"/>
                <w:szCs w:val="28"/>
              </w:rPr>
            </w:pPr>
          </w:p>
        </w:tc>
      </w:tr>
      <w:tr w14:paraId="330922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020" w:type="dxa"/>
          </w:tcPr>
          <w:p w14:paraId="2B0D29CB">
            <w:pPr>
              <w:jc w:val="center"/>
              <w:rPr>
                <w:rFonts w:hint="eastAsia" w:ascii="仿宋_GB2312" w:hAnsi="等线"/>
                <w:bCs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szCs w:val="32"/>
              </w:rPr>
              <w:t>运营我司产品优势</w:t>
            </w:r>
          </w:p>
        </w:tc>
      </w:tr>
      <w:tr w14:paraId="022FC7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0" w:hRule="atLeast"/>
        </w:trPr>
        <w:tc>
          <w:tcPr>
            <w:tcW w:w="9020" w:type="dxa"/>
          </w:tcPr>
          <w:p w14:paraId="007FFC02">
            <w:pPr>
              <w:rPr>
                <w:rFonts w:hint="eastAsia" w:ascii="仿宋_GB2312" w:hAnsi="宋体" w:cs="宋体"/>
                <w:color w:val="BEBEBE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BEBEBE"/>
                <w:kern w:val="0"/>
                <w:sz w:val="28"/>
                <w:szCs w:val="28"/>
              </w:rPr>
              <w:t>（了解保健酒业、清楚产品的定位、运营优势等）</w:t>
            </w:r>
          </w:p>
          <w:p w14:paraId="48F37859">
            <w:pPr>
              <w:rPr>
                <w:rFonts w:hint="eastAsia" w:ascii="仿宋_GB2312" w:hAnsi="等线"/>
                <w:bCs/>
                <w:sz w:val="21"/>
                <w:szCs w:val="22"/>
              </w:rPr>
            </w:pPr>
          </w:p>
          <w:p w14:paraId="3F5CBAD6">
            <w:pPr>
              <w:rPr>
                <w:rFonts w:hint="eastAsia" w:ascii="仿宋_GB2312" w:hAnsi="等线"/>
                <w:bCs/>
                <w:sz w:val="21"/>
                <w:szCs w:val="22"/>
              </w:rPr>
            </w:pPr>
          </w:p>
          <w:p w14:paraId="63787423">
            <w:pPr>
              <w:rPr>
                <w:rFonts w:hint="eastAsia" w:ascii="仿宋_GB2312" w:hAnsi="等线"/>
                <w:bCs/>
                <w:sz w:val="21"/>
                <w:szCs w:val="22"/>
              </w:rPr>
            </w:pPr>
          </w:p>
          <w:p w14:paraId="1F0C5F19">
            <w:pPr>
              <w:rPr>
                <w:rFonts w:hint="eastAsia" w:ascii="仿宋_GB2312" w:hAnsi="等线"/>
                <w:bCs/>
                <w:sz w:val="21"/>
                <w:szCs w:val="22"/>
              </w:rPr>
            </w:pPr>
          </w:p>
          <w:p w14:paraId="38A909A4">
            <w:pPr>
              <w:rPr>
                <w:rFonts w:hint="eastAsia" w:ascii="仿宋_GB2312" w:hAnsi="等线"/>
                <w:bCs/>
                <w:sz w:val="21"/>
                <w:szCs w:val="22"/>
              </w:rPr>
            </w:pPr>
          </w:p>
          <w:p w14:paraId="47E39DF6">
            <w:pPr>
              <w:rPr>
                <w:rFonts w:hint="eastAsia" w:ascii="仿宋_GB2312" w:hAnsi="等线"/>
                <w:bCs/>
                <w:sz w:val="21"/>
                <w:szCs w:val="22"/>
              </w:rPr>
            </w:pPr>
          </w:p>
        </w:tc>
      </w:tr>
      <w:tr w14:paraId="2ED2C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9020" w:type="dxa"/>
          </w:tcPr>
          <w:p w14:paraId="7E12B5BB">
            <w:pPr>
              <w:jc w:val="center"/>
              <w:rPr>
                <w:rFonts w:hint="eastAsia" w:ascii="仿宋_GB2312" w:hAnsi="等线"/>
                <w:bCs/>
                <w:sz w:val="21"/>
                <w:szCs w:val="22"/>
              </w:rPr>
            </w:pPr>
            <w:r>
              <w:rPr>
                <w:rFonts w:hint="eastAsia" w:ascii="黑体" w:hAnsi="黑体" w:eastAsia="黑体" w:cs="黑体"/>
                <w:bCs/>
                <w:szCs w:val="32"/>
              </w:rPr>
              <w:t>运营我司产品的运营规划</w:t>
            </w:r>
          </w:p>
        </w:tc>
      </w:tr>
      <w:tr w14:paraId="24ED7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0" w:hRule="atLeast"/>
        </w:trPr>
        <w:tc>
          <w:tcPr>
            <w:tcW w:w="9020" w:type="dxa"/>
          </w:tcPr>
          <w:p w14:paraId="675C7052">
            <w:pPr>
              <w:rPr>
                <w:rFonts w:hint="eastAsia" w:ascii="仿宋_GB2312" w:hAnsi="宋体" w:cs="宋体"/>
                <w:color w:val="BEBEBE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color w:val="BEBEBE"/>
                <w:kern w:val="0"/>
                <w:sz w:val="28"/>
                <w:szCs w:val="28"/>
              </w:rPr>
              <w:t>（团队规划、市场推广思路、渠道布局等）</w:t>
            </w:r>
          </w:p>
          <w:p w14:paraId="604DD4E6">
            <w:pPr>
              <w:rPr>
                <w:rFonts w:hint="eastAsia" w:ascii="仿宋_GB2312" w:hAnsi="等线"/>
                <w:bCs/>
                <w:sz w:val="21"/>
                <w:szCs w:val="22"/>
              </w:rPr>
            </w:pPr>
          </w:p>
        </w:tc>
      </w:tr>
    </w:tbl>
    <w:p w14:paraId="44F99B6D">
      <w:pPr>
        <w:spacing w:line="400" w:lineRule="exact"/>
        <w:rPr>
          <w:rFonts w:hint="eastAsia" w:ascii="仿宋_GB2312" w:hAnsi="仿宋_GB2312" w:cs="仿宋_GB2312"/>
          <w:szCs w:val="32"/>
        </w:rPr>
      </w:pPr>
      <w:r>
        <w:rPr>
          <w:rFonts w:hint="eastAsia" w:ascii="仿宋_GB2312" w:hAnsi="仿宋_GB2312" w:cs="仿宋_GB2312"/>
          <w:sz w:val="21"/>
          <w:szCs w:val="21"/>
        </w:rPr>
        <w:t>客户签章                                                      年  月  日</w:t>
      </w: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decimal" w:start="1"/>
      <w:cols w:space="0" w:num="1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